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73E46" w14:textId="2BBDF544" w:rsidR="00FE1F7E" w:rsidRPr="00FE1F7E" w:rsidRDefault="00FE1F7E" w:rsidP="00FE1F7E">
      <w:pPr>
        <w:spacing w:after="0" w:line="240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FE1F7E">
        <w:rPr>
          <w:rFonts w:ascii="Calibri" w:eastAsia="Calibri" w:hAnsi="Calibri" w:cs="Times New Roman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F2634" wp14:editId="7495A3E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6382F" w14:textId="5152F7CC" w:rsidR="00FE1F7E" w:rsidRDefault="00FE1F7E" w:rsidP="00FE1F7E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5B49531C" wp14:editId="259B492D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622D7" w14:textId="77777777" w:rsidR="00FE1F7E" w:rsidRDefault="00FE1F7E" w:rsidP="00FE1F7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4935BAF" w14:textId="77777777" w:rsidR="00FE1F7E" w:rsidRDefault="00FE1F7E" w:rsidP="00FE1F7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043130A7" w14:textId="77777777" w:rsidR="00FE1F7E" w:rsidRDefault="00FE1F7E" w:rsidP="00FE1F7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E24359B" w14:textId="77777777" w:rsidR="00FE1F7E" w:rsidRDefault="00FE1F7E" w:rsidP="00FE1F7E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5F26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706382F" w14:textId="5152F7CC" w:rsidR="00FE1F7E" w:rsidRDefault="00FE1F7E" w:rsidP="00FE1F7E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5B49531C" wp14:editId="259B492D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622D7" w14:textId="77777777" w:rsidR="00FE1F7E" w:rsidRDefault="00FE1F7E" w:rsidP="00FE1F7E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4935BAF" w14:textId="77777777" w:rsidR="00FE1F7E" w:rsidRDefault="00FE1F7E" w:rsidP="00FE1F7E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043130A7" w14:textId="77777777" w:rsidR="00FE1F7E" w:rsidRDefault="00FE1F7E" w:rsidP="00FE1F7E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E24359B" w14:textId="77777777" w:rsidR="00FE1F7E" w:rsidRDefault="00FE1F7E" w:rsidP="00FE1F7E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FE1F7E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</w:p>
    <w:p w14:paraId="2EECC54B" w14:textId="77777777" w:rsidR="00FE1F7E" w:rsidRPr="00FE1F7E" w:rsidRDefault="00FE1F7E" w:rsidP="00FE1F7E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4C599B1F" w14:textId="77777777" w:rsidR="00FE1F7E" w:rsidRPr="00FE1F7E" w:rsidRDefault="00FE1F7E" w:rsidP="00FE1F7E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4A0DC0A" w14:textId="77777777" w:rsidR="00FE1F7E" w:rsidRPr="00FE1F7E" w:rsidRDefault="00FE1F7E" w:rsidP="00FE1F7E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263510" w14:textId="77777777" w:rsidR="00FE1F7E" w:rsidRPr="00FE1F7E" w:rsidRDefault="00FE1F7E" w:rsidP="00FE1F7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6CE80F4" w14:textId="77777777" w:rsidR="00FE1F7E" w:rsidRPr="00FE1F7E" w:rsidRDefault="00FE1F7E" w:rsidP="00FE1F7E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B35D7D3" w14:textId="77777777" w:rsidR="00FE1F7E" w:rsidRPr="00FE1F7E" w:rsidRDefault="00FE1F7E" w:rsidP="00FE1F7E">
      <w:pPr>
        <w:spacing w:after="200"/>
        <w:ind w:left="4320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4BA5828F" w14:textId="731D5053" w:rsidR="00FE1F7E" w:rsidRDefault="00FE1F7E" w:rsidP="00FA742E">
      <w:pPr>
        <w:spacing w:after="200"/>
        <w:ind w:left="4320"/>
        <w:jc w:val="right"/>
        <w:rPr>
          <w:rFonts w:eastAsia="Calibri" w:cstheme="minorHAnsi"/>
          <w:kern w:val="0"/>
          <w14:ligatures w14:val="none"/>
        </w:rPr>
      </w:pPr>
      <w:r w:rsidRPr="00FE1F7E">
        <w:rPr>
          <w:rFonts w:eastAsia="Calibri" w:cstheme="minorHAnsi"/>
          <w:kern w:val="0"/>
          <w14:ligatures w14:val="none"/>
        </w:rPr>
        <w:t xml:space="preserve">                   </w:t>
      </w:r>
      <w:bookmarkStart w:id="0" w:name="_Hlk158298325"/>
      <w:r w:rsidRPr="00FE1F7E">
        <w:rPr>
          <w:rFonts w:eastAsia="Calibri" w:cstheme="minorHAnsi"/>
          <w:kern w:val="0"/>
          <w14:ligatures w14:val="none"/>
        </w:rPr>
        <w:t xml:space="preserve">Αθήνα, 31 Ιανουαρίου 2025 </w:t>
      </w:r>
      <w:bookmarkEnd w:id="0"/>
    </w:p>
    <w:p w14:paraId="469F7245" w14:textId="77777777" w:rsidR="00FA742E" w:rsidRPr="00FE1F7E" w:rsidRDefault="00FA742E" w:rsidP="00FA742E">
      <w:pPr>
        <w:spacing w:after="200"/>
        <w:ind w:left="4320"/>
        <w:jc w:val="right"/>
        <w:rPr>
          <w:rFonts w:eastAsia="Calibri" w:cstheme="minorHAnsi"/>
          <w:kern w:val="0"/>
          <w14:ligatures w14:val="none"/>
        </w:rPr>
      </w:pPr>
    </w:p>
    <w:p w14:paraId="723725FD" w14:textId="77777777" w:rsidR="00FA742E" w:rsidRDefault="00FA08FB" w:rsidP="00FA742E">
      <w:pPr>
        <w:spacing w:line="240" w:lineRule="auto"/>
        <w:jc w:val="center"/>
        <w:rPr>
          <w:rFonts w:cstheme="minorHAnsi"/>
          <w:b/>
        </w:rPr>
      </w:pPr>
      <w:r w:rsidRPr="00FE1F7E">
        <w:rPr>
          <w:rFonts w:cstheme="minorHAnsi"/>
          <w:b/>
        </w:rPr>
        <w:t>Δήλωση της Υπουργού Πολιτισμού Λίνας Μενδώνη για την απώλεια του</w:t>
      </w:r>
      <w:r w:rsidR="00EF02C7" w:rsidRPr="00FE1F7E">
        <w:rPr>
          <w:rFonts w:cstheme="minorHAnsi"/>
          <w:b/>
        </w:rPr>
        <w:t xml:space="preserve"> </w:t>
      </w:r>
    </w:p>
    <w:p w14:paraId="72905D49" w14:textId="5B449C90" w:rsidR="00FA08FB" w:rsidRPr="00FE1F7E" w:rsidRDefault="00EF02C7" w:rsidP="00FA742E">
      <w:pPr>
        <w:spacing w:line="240" w:lineRule="auto"/>
        <w:jc w:val="center"/>
        <w:rPr>
          <w:rFonts w:cstheme="minorHAnsi"/>
          <w:b/>
        </w:rPr>
      </w:pPr>
      <w:bookmarkStart w:id="1" w:name="_GoBack"/>
      <w:bookmarkEnd w:id="1"/>
      <w:r w:rsidRPr="00FE1F7E">
        <w:rPr>
          <w:rFonts w:cstheme="minorHAnsi"/>
          <w:b/>
        </w:rPr>
        <w:t>Γιάννη Η. Χάρη</w:t>
      </w:r>
    </w:p>
    <w:p w14:paraId="2757BBDC" w14:textId="77777777" w:rsidR="00FA08FB" w:rsidRPr="00FE1F7E" w:rsidRDefault="00FA08FB" w:rsidP="00FA08FB">
      <w:pPr>
        <w:jc w:val="center"/>
        <w:rPr>
          <w:rFonts w:cstheme="minorHAnsi"/>
        </w:rPr>
      </w:pPr>
    </w:p>
    <w:p w14:paraId="75C8DF17" w14:textId="1A059FC0" w:rsidR="00A63282" w:rsidRPr="00FE1F7E" w:rsidRDefault="00FA08FB" w:rsidP="00FA08FB">
      <w:pPr>
        <w:jc w:val="both"/>
        <w:rPr>
          <w:rFonts w:cstheme="minorHAnsi"/>
        </w:rPr>
      </w:pPr>
      <w:r w:rsidRPr="00FE1F7E">
        <w:rPr>
          <w:rFonts w:cstheme="minorHAnsi"/>
        </w:rPr>
        <w:t>Πληροφορούμενη την απώλεια του</w:t>
      </w:r>
      <w:r w:rsidR="00EF02C7" w:rsidRPr="00FE1F7E">
        <w:rPr>
          <w:rFonts w:cstheme="minorHAnsi"/>
        </w:rPr>
        <w:t xml:space="preserve"> Γιάννη Η. Χάρη</w:t>
      </w:r>
      <w:r w:rsidRPr="00FE1F7E">
        <w:rPr>
          <w:rFonts w:cstheme="minorHAnsi"/>
        </w:rPr>
        <w:t>, η Υπουργός Πολιτισμού Λίνα Μενδώνη έκανε την ακόλουθη δήλωση:</w:t>
      </w:r>
    </w:p>
    <w:p w14:paraId="4F5E35E1" w14:textId="7D552561" w:rsidR="00B30A77" w:rsidRPr="00FE1F7E" w:rsidRDefault="00A63282" w:rsidP="00FA08FB">
      <w:pPr>
        <w:jc w:val="both"/>
        <w:rPr>
          <w:rFonts w:cstheme="minorHAnsi"/>
        </w:rPr>
      </w:pPr>
      <w:r w:rsidRPr="00FE1F7E">
        <w:rPr>
          <w:rFonts w:cstheme="minorHAnsi"/>
        </w:rPr>
        <w:t>Με θλίψη πληροφορήθηκα την απώλεια του</w:t>
      </w:r>
      <w:r w:rsidR="0078689A" w:rsidRPr="00FE1F7E">
        <w:rPr>
          <w:rFonts w:cstheme="minorHAnsi"/>
        </w:rPr>
        <w:t xml:space="preserve"> Γιάννη Η. Χάρη, που διέγραψε σημαντική πορεία πενήντα χρόνων στα Γράμματα. </w:t>
      </w:r>
      <w:r w:rsidR="001C78BE" w:rsidRPr="00FE1F7E">
        <w:rPr>
          <w:rFonts w:cstheme="minorHAnsi"/>
        </w:rPr>
        <w:t>Επίμονος</w:t>
      </w:r>
      <w:r w:rsidR="0078689A" w:rsidRPr="00FE1F7E">
        <w:rPr>
          <w:rFonts w:cstheme="minorHAnsi"/>
        </w:rPr>
        <w:t xml:space="preserve"> στυλίστας της γλώσσας και άτεγκτος στη σωστή χρήση της και την αδιάκοπη καλλιέργειά της, ο Γιάννης Η. Χάρης κληροδοτεί ένα σημαντικό έργο στην επιμέλεια και, κυρίως, τη μετάφραση. Πυρήνας του, ασφαλώς, η μετάφραση στη γλώσσα μας των έργων του Μίλαν </w:t>
      </w:r>
      <w:proofErr w:type="spellStart"/>
      <w:r w:rsidR="0078689A" w:rsidRPr="00FE1F7E">
        <w:rPr>
          <w:rFonts w:cstheme="minorHAnsi"/>
        </w:rPr>
        <w:t>Κούντερα</w:t>
      </w:r>
      <w:proofErr w:type="spellEnd"/>
      <w:r w:rsidR="0078689A" w:rsidRPr="00FE1F7E">
        <w:rPr>
          <w:rFonts w:cstheme="minorHAnsi"/>
        </w:rPr>
        <w:t xml:space="preserve">, </w:t>
      </w:r>
      <w:r w:rsidR="00E23D22" w:rsidRPr="00FE1F7E">
        <w:rPr>
          <w:rFonts w:cstheme="minorHAnsi"/>
        </w:rPr>
        <w:t>εργασία</w:t>
      </w:r>
      <w:r w:rsidR="0078689A" w:rsidRPr="00FE1F7E">
        <w:rPr>
          <w:rFonts w:cstheme="minorHAnsi"/>
        </w:rPr>
        <w:t xml:space="preserve"> που τον απορρόφησε επί δεκαετίες</w:t>
      </w:r>
      <w:r w:rsidR="00E23D22" w:rsidRPr="00FE1F7E">
        <w:rPr>
          <w:rFonts w:cstheme="minorHAnsi"/>
        </w:rPr>
        <w:t xml:space="preserve"> και συνέβαλε στη διάδοση του έργου του μεγάλου συγγραφέα στη χώρα μας</w:t>
      </w:r>
      <w:r w:rsidR="0078689A" w:rsidRPr="00FE1F7E">
        <w:rPr>
          <w:rFonts w:cstheme="minorHAnsi"/>
        </w:rPr>
        <w:t xml:space="preserve">. Ο Γιάννης Η. Χάρης υπήρξε, επίσης, συστηματικός επιφυλλιδογράφος, σε ζητήματα γλώσσας, πολιτισμού και πολιτικής, με </w:t>
      </w:r>
      <w:r w:rsidR="001C78BE" w:rsidRPr="00FE1F7E">
        <w:rPr>
          <w:rFonts w:cstheme="minorHAnsi"/>
        </w:rPr>
        <w:t>παρέμβαση καυστική</w:t>
      </w:r>
      <w:r w:rsidR="0078689A" w:rsidRPr="00FE1F7E">
        <w:rPr>
          <w:rFonts w:cstheme="minorHAnsi"/>
        </w:rPr>
        <w:t xml:space="preserve"> που δεν επεδίωκε</w:t>
      </w:r>
      <w:r w:rsidR="00A80E85" w:rsidRPr="00FE1F7E">
        <w:rPr>
          <w:rFonts w:cstheme="minorHAnsi"/>
        </w:rPr>
        <w:t xml:space="preserve"> οπωσδήποτε</w:t>
      </w:r>
      <w:r w:rsidR="0078689A" w:rsidRPr="00FE1F7E">
        <w:rPr>
          <w:rFonts w:cstheme="minorHAnsi"/>
        </w:rPr>
        <w:t xml:space="preserve"> να ικανοποιήσει ή να ευθυγραμμιστεί με την κρατούσα άποψη ή τον μέσο όρο.</w:t>
      </w:r>
      <w:r w:rsidR="00E23D22" w:rsidRPr="00FE1F7E">
        <w:rPr>
          <w:rFonts w:cstheme="minorHAnsi"/>
        </w:rPr>
        <w:t xml:space="preserve"> </w:t>
      </w:r>
      <w:r w:rsidR="0078689A" w:rsidRPr="00FE1F7E">
        <w:rPr>
          <w:rFonts w:cstheme="minorHAnsi"/>
        </w:rPr>
        <w:t xml:space="preserve"> </w:t>
      </w:r>
    </w:p>
    <w:p w14:paraId="06486465" w14:textId="3D05E225" w:rsidR="00A63282" w:rsidRPr="00FE1F7E" w:rsidRDefault="00B30A77" w:rsidP="00FA08FB">
      <w:pPr>
        <w:jc w:val="both"/>
        <w:rPr>
          <w:rFonts w:cstheme="minorHAnsi"/>
        </w:rPr>
      </w:pPr>
      <w:r w:rsidRPr="00FE1F7E">
        <w:rPr>
          <w:rFonts w:cstheme="minorHAnsi"/>
        </w:rPr>
        <w:t>Στους οικείους του και τους φίλους του απευθύνω ειλικριν</w:t>
      </w:r>
      <w:r w:rsidR="001C78BE" w:rsidRPr="00FE1F7E">
        <w:rPr>
          <w:rFonts w:cstheme="minorHAnsi"/>
        </w:rPr>
        <w:t>ή</w:t>
      </w:r>
      <w:r w:rsidRPr="00FE1F7E">
        <w:rPr>
          <w:rFonts w:cstheme="minorHAnsi"/>
        </w:rPr>
        <w:t xml:space="preserve"> συλλυπητήρια. </w:t>
      </w:r>
      <w:r w:rsidR="001B2B72" w:rsidRPr="00FE1F7E">
        <w:rPr>
          <w:rFonts w:cstheme="minorHAnsi"/>
        </w:rPr>
        <w:t xml:space="preserve"> </w:t>
      </w:r>
    </w:p>
    <w:sectPr w:rsidR="00A63282" w:rsidRPr="00FE1F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FB"/>
    <w:rsid w:val="001B2B72"/>
    <w:rsid w:val="001C78BE"/>
    <w:rsid w:val="001D0117"/>
    <w:rsid w:val="001E4A54"/>
    <w:rsid w:val="0078689A"/>
    <w:rsid w:val="00A63282"/>
    <w:rsid w:val="00A80E85"/>
    <w:rsid w:val="00AE7E58"/>
    <w:rsid w:val="00B30A77"/>
    <w:rsid w:val="00D51CB8"/>
    <w:rsid w:val="00E23D22"/>
    <w:rsid w:val="00EF02C7"/>
    <w:rsid w:val="00FA08FB"/>
    <w:rsid w:val="00FA742E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A05A"/>
  <w15:chartTrackingRefBased/>
  <w15:docId w15:val="{3CC0A944-9E99-470C-85F3-09DA4C1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8FB"/>
    <w:pPr>
      <w:spacing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FA08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08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08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08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08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08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08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08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08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0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0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0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08F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08F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08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08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08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08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0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08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0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08F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08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08FB"/>
    <w:pPr>
      <w:spacing w:line="278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FA08F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0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08F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A0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4DD2AD8-4DEA-4648-AC6E-CA7AEA56EC1D}"/>
</file>

<file path=customXml/itemProps2.xml><?xml version="1.0" encoding="utf-8"?>
<ds:datastoreItem xmlns:ds="http://schemas.openxmlformats.org/officeDocument/2006/customXml" ds:itemID="{F4C8EBE6-CF1D-4955-A7DF-DECC09992306}"/>
</file>

<file path=customXml/itemProps3.xml><?xml version="1.0" encoding="utf-8"?>
<ds:datastoreItem xmlns:ds="http://schemas.openxmlformats.org/officeDocument/2006/customXml" ds:itemID="{87FF401D-E96B-4B87-AB44-957C28359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Γιάννη Η. Χάρη</dc:title>
  <dc:subject/>
  <dc:creator>User</dc:creator>
  <cp:keywords/>
  <dc:description/>
  <cp:lastModifiedBy>Ελευθερία Πελτέκη</cp:lastModifiedBy>
  <cp:revision>2</cp:revision>
  <dcterms:created xsi:type="dcterms:W3CDTF">2025-01-31T08:05:00Z</dcterms:created>
  <dcterms:modified xsi:type="dcterms:W3CDTF">2025-01-31T08:05:00Z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